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47" w:rsidRPr="00BD2A0A" w:rsidRDefault="00C02547" w:rsidP="00C0254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bookmarkStart w:id="0" w:name="_GoBack"/>
      <w:proofErr w:type="spellStart"/>
      <w:r w:rsidRPr="00BD2A0A">
        <w:rPr>
          <w:rFonts w:ascii="Times New Roman" w:hAnsi="Times New Roman"/>
          <w:b/>
          <w:bCs/>
          <w:sz w:val="40"/>
          <w:szCs w:val="40"/>
          <w:lang w:val="en-US"/>
        </w:rPr>
        <w:t>Sakinl</w:t>
      </w:r>
      <w:proofErr w:type="spellEnd"/>
      <w:r w:rsidRPr="00BD2A0A">
        <w:rPr>
          <w:rFonts w:ascii="Times New Roman" w:hAnsi="Times New Roman"/>
          <w:b/>
          <w:bCs/>
          <w:sz w:val="40"/>
          <w:szCs w:val="40"/>
          <w:lang w:val="az-Latn-AZ"/>
        </w:rPr>
        <w:t xml:space="preserve">ərin Müraciət Xidmətinin </w:t>
      </w:r>
      <w:r w:rsidR="00CB4B34">
        <w:rPr>
          <w:rFonts w:ascii="Times New Roman" w:hAnsi="Times New Roman"/>
          <w:b/>
          <w:bCs/>
          <w:sz w:val="40"/>
          <w:szCs w:val="40"/>
          <w:lang w:val="az-Latn-AZ"/>
        </w:rPr>
        <w:t>8</w:t>
      </w:r>
      <w:r w:rsidRPr="00BD2A0A">
        <w:rPr>
          <w:rFonts w:ascii="Times New Roman" w:hAnsi="Times New Roman"/>
          <w:b/>
          <w:bCs/>
          <w:sz w:val="40"/>
          <w:szCs w:val="40"/>
          <w:lang w:val="az-Latn-AZ"/>
        </w:rPr>
        <w:t xml:space="preserve"> illik fəaliyyəti barədə</w:t>
      </w:r>
    </w:p>
    <w:p w:rsidR="00C02547" w:rsidRPr="00B12042" w:rsidRDefault="00C02547" w:rsidP="00C025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02547" w:rsidRPr="00B17C9A" w:rsidRDefault="00C02547" w:rsidP="00C0254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351C6">
        <w:rPr>
          <w:rFonts w:ascii="Times New Roman" w:hAnsi="Times New Roman"/>
          <w:sz w:val="28"/>
          <w:szCs w:val="28"/>
          <w:lang w:val="az-Latn-AZ"/>
        </w:rPr>
        <w:t>Yerli icra hakimiyyəti orqanları arasında ilk olaraq Binəqədi Rayon İcra Hakimiyyətində yaradıl</w:t>
      </w:r>
      <w:r w:rsidR="001E708B" w:rsidRPr="006351C6">
        <w:rPr>
          <w:rFonts w:ascii="Times New Roman" w:hAnsi="Times New Roman"/>
          <w:sz w:val="28"/>
          <w:szCs w:val="28"/>
          <w:lang w:val="az-Latn-AZ"/>
        </w:rPr>
        <w:t>mış Sakinlərin Müraciət Xidməti</w:t>
      </w:r>
      <w:r w:rsidR="00A46E0F" w:rsidRPr="006351C6">
        <w:rPr>
          <w:rFonts w:ascii="Times New Roman" w:hAnsi="Times New Roman"/>
          <w:sz w:val="28"/>
          <w:szCs w:val="28"/>
          <w:lang w:val="az-Latn-AZ"/>
        </w:rPr>
        <w:t>nin</w:t>
      </w:r>
      <w:r w:rsidR="001E708B" w:rsidRPr="006351C6">
        <w:rPr>
          <w:rFonts w:ascii="Times New Roman" w:hAnsi="Times New Roman"/>
          <w:sz w:val="28"/>
          <w:szCs w:val="28"/>
          <w:lang w:val="az-Latn-AZ"/>
        </w:rPr>
        <w:t xml:space="preserve"> bu gün </w:t>
      </w:r>
      <w:r w:rsidR="00A46E0F" w:rsidRPr="006351C6">
        <w:rPr>
          <w:rFonts w:ascii="Times New Roman" w:hAnsi="Times New Roman"/>
          <w:sz w:val="28"/>
          <w:szCs w:val="28"/>
          <w:lang w:val="az-Latn-AZ"/>
        </w:rPr>
        <w:t xml:space="preserve">fəaliyyətinin </w:t>
      </w:r>
      <w:r w:rsidR="00CB4B34" w:rsidRPr="006351C6">
        <w:rPr>
          <w:rFonts w:ascii="Times New Roman" w:hAnsi="Times New Roman"/>
          <w:sz w:val="28"/>
          <w:szCs w:val="28"/>
          <w:lang w:val="az-Latn-AZ"/>
        </w:rPr>
        <w:t>8</w:t>
      </w:r>
      <w:r w:rsidR="001E708B" w:rsidRPr="006351C6">
        <w:rPr>
          <w:rFonts w:ascii="Times New Roman" w:hAnsi="Times New Roman"/>
          <w:sz w:val="28"/>
          <w:szCs w:val="28"/>
          <w:lang w:val="az-Latn-AZ"/>
        </w:rPr>
        <w:t xml:space="preserve"> ili tamam olur. </w:t>
      </w:r>
    </w:p>
    <w:p w:rsidR="00C02547" w:rsidRPr="006351C6" w:rsidRDefault="00C02547" w:rsidP="001E708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351C6">
        <w:rPr>
          <w:rFonts w:ascii="Times New Roman" w:hAnsi="Times New Roman"/>
          <w:sz w:val="28"/>
          <w:szCs w:val="28"/>
          <w:lang w:val="az-Latn-AZ"/>
        </w:rPr>
        <w:t>Xidmət vətəndaşlarla operativ ünsiyyətin yaradılması, onların rayonda fəaliyyət göstərən dövlət qurumlarına müraciət imkanlarının asanla</w:t>
      </w:r>
      <w:r w:rsidR="001E708B" w:rsidRPr="006351C6">
        <w:rPr>
          <w:rFonts w:ascii="Times New Roman" w:hAnsi="Times New Roman"/>
          <w:sz w:val="28"/>
          <w:szCs w:val="28"/>
          <w:lang w:val="az-Latn-AZ"/>
        </w:rPr>
        <w:t>şdırılması məqsədilə yaradılmış, b</w:t>
      </w:r>
      <w:r w:rsidRPr="006351C6">
        <w:rPr>
          <w:rFonts w:ascii="Times New Roman" w:hAnsi="Times New Roman"/>
          <w:sz w:val="28"/>
          <w:szCs w:val="28"/>
          <w:lang w:val="az-Latn-AZ"/>
        </w:rPr>
        <w:t>ütün müasir avadanlıqlarla və</w:t>
      </w:r>
      <w:r w:rsidR="0000610B" w:rsidRPr="006351C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51C6">
        <w:rPr>
          <w:rFonts w:ascii="Times New Roman" w:hAnsi="Times New Roman"/>
          <w:sz w:val="28"/>
          <w:szCs w:val="28"/>
          <w:lang w:val="az-Latn-AZ"/>
        </w:rPr>
        <w:t>sürətli kommunik</w:t>
      </w:r>
      <w:r w:rsidR="001E708B" w:rsidRPr="006351C6">
        <w:rPr>
          <w:rFonts w:ascii="Times New Roman" w:hAnsi="Times New Roman"/>
          <w:sz w:val="28"/>
          <w:szCs w:val="28"/>
          <w:lang w:val="az-Latn-AZ"/>
        </w:rPr>
        <w:t xml:space="preserve">asiya sistemi ilə təchiz edilərək </w:t>
      </w:r>
      <w:r w:rsidRPr="006351C6">
        <w:rPr>
          <w:rFonts w:ascii="Times New Roman" w:hAnsi="Times New Roman"/>
          <w:sz w:val="28"/>
          <w:szCs w:val="28"/>
          <w:lang w:val="az-Latn-AZ"/>
        </w:rPr>
        <w:t>24 saat fasil</w:t>
      </w:r>
      <w:r w:rsidR="001E708B" w:rsidRPr="006351C6">
        <w:rPr>
          <w:rFonts w:ascii="Times New Roman" w:hAnsi="Times New Roman"/>
          <w:sz w:val="28"/>
          <w:szCs w:val="28"/>
          <w:lang w:val="az-Latn-AZ"/>
        </w:rPr>
        <w:t xml:space="preserve">əsiz olaraq fəaliyyət göstərir. </w:t>
      </w:r>
      <w:r w:rsidRPr="006351C6">
        <w:rPr>
          <w:rFonts w:ascii="Times New Roman" w:hAnsi="Times New Roman"/>
          <w:sz w:val="28"/>
          <w:szCs w:val="28"/>
          <w:lang w:val="az-Latn-AZ"/>
        </w:rPr>
        <w:t>Bütün bu imkanlar Binəqədi Rayon İcra Hakimiyyəti tərəfindən vətəndaşlara göstərilən xidmətlərin hər bir vətəndaş üçün əlçatan olmasını təmin etmək məqsədini daşıyır.</w:t>
      </w:r>
    </w:p>
    <w:p w:rsidR="00C02547" w:rsidRPr="006351C6" w:rsidRDefault="00A46E0F" w:rsidP="00C02547">
      <w:pPr>
        <w:pStyle w:val="Default"/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6351C6">
        <w:rPr>
          <w:sz w:val="28"/>
          <w:szCs w:val="28"/>
          <w:lang w:val="az-Latn-AZ"/>
        </w:rPr>
        <w:t>Fəaliyyətə başladığı dövrdən</w:t>
      </w:r>
      <w:r w:rsidR="00C02547" w:rsidRPr="006351C6">
        <w:rPr>
          <w:sz w:val="28"/>
          <w:szCs w:val="28"/>
          <w:lang w:val="az-Latn-AZ"/>
        </w:rPr>
        <w:t xml:space="preserve"> </w:t>
      </w:r>
      <w:r w:rsidR="00C02547" w:rsidRPr="006351C6">
        <w:rPr>
          <w:bCs/>
          <w:sz w:val="28"/>
          <w:szCs w:val="28"/>
          <w:lang w:val="az-Latn-AZ"/>
        </w:rPr>
        <w:t xml:space="preserve">Sakinlərin Müraciət Xidmətində cavablandırılan zənglərin sayı </w:t>
      </w:r>
      <w:r w:rsidR="00715FEC">
        <w:rPr>
          <w:b/>
          <w:color w:val="000000" w:themeColor="text1"/>
          <w:sz w:val="28"/>
          <w:szCs w:val="28"/>
          <w:lang w:val="az-Latn-AZ"/>
        </w:rPr>
        <w:t>245</w:t>
      </w:r>
      <w:r w:rsidR="008F573C">
        <w:rPr>
          <w:b/>
          <w:color w:val="000000" w:themeColor="text1"/>
          <w:sz w:val="28"/>
          <w:szCs w:val="28"/>
          <w:lang w:val="az-Latn-AZ"/>
        </w:rPr>
        <w:t xml:space="preserve"> </w:t>
      </w:r>
      <w:r w:rsidR="00715FEC">
        <w:rPr>
          <w:b/>
          <w:color w:val="000000" w:themeColor="text1"/>
          <w:sz w:val="28"/>
          <w:szCs w:val="28"/>
          <w:lang w:val="az-Latn-AZ"/>
        </w:rPr>
        <w:t xml:space="preserve">852 </w:t>
      </w:r>
      <w:r w:rsidR="00C02547" w:rsidRPr="006351C6">
        <w:rPr>
          <w:b/>
          <w:color w:val="000000" w:themeColor="text1"/>
          <w:sz w:val="28"/>
          <w:szCs w:val="28"/>
          <w:lang w:val="az-Latn-AZ"/>
        </w:rPr>
        <w:t xml:space="preserve"> </w:t>
      </w:r>
      <w:r w:rsidR="00C02547" w:rsidRPr="006351C6">
        <w:rPr>
          <w:sz w:val="28"/>
          <w:szCs w:val="28"/>
          <w:lang w:val="az-Latn-AZ"/>
        </w:rPr>
        <w:t xml:space="preserve">vahid, tərtib edilmiş icraat vərəqələrinin sayı </w:t>
      </w:r>
      <w:r w:rsidR="00715FEC">
        <w:rPr>
          <w:b/>
          <w:sz w:val="28"/>
          <w:szCs w:val="28"/>
          <w:lang w:val="az-Latn-AZ"/>
        </w:rPr>
        <w:t>49</w:t>
      </w:r>
      <w:r w:rsidR="008F573C">
        <w:rPr>
          <w:b/>
          <w:sz w:val="28"/>
          <w:szCs w:val="28"/>
          <w:lang w:val="az-Latn-AZ"/>
        </w:rPr>
        <w:t xml:space="preserve"> </w:t>
      </w:r>
      <w:r w:rsidR="00715FEC">
        <w:rPr>
          <w:b/>
          <w:sz w:val="28"/>
          <w:szCs w:val="28"/>
          <w:lang w:val="az-Latn-AZ"/>
        </w:rPr>
        <w:t>401</w:t>
      </w:r>
      <w:r w:rsidR="00C02547" w:rsidRPr="006351C6">
        <w:rPr>
          <w:b/>
          <w:sz w:val="28"/>
          <w:szCs w:val="28"/>
          <w:lang w:val="az-Latn-AZ"/>
        </w:rPr>
        <w:t xml:space="preserve"> </w:t>
      </w:r>
      <w:r w:rsidR="00C02547" w:rsidRPr="006351C6">
        <w:rPr>
          <w:sz w:val="28"/>
          <w:szCs w:val="28"/>
          <w:lang w:val="az-Latn-AZ"/>
        </w:rPr>
        <w:t>vahid olmuşdur.</w:t>
      </w:r>
    </w:p>
    <w:p w:rsidR="00C02547" w:rsidRPr="00715FEC" w:rsidRDefault="00CB4B34" w:rsidP="00715FEC">
      <w:pPr>
        <w:pStyle w:val="Default"/>
        <w:spacing w:line="480" w:lineRule="auto"/>
        <w:jc w:val="both"/>
        <w:rPr>
          <w:sz w:val="40"/>
          <w:szCs w:val="4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2CF3EC7" wp14:editId="33A807A6">
            <wp:extent cx="9717206" cy="3439236"/>
            <wp:effectExtent l="0" t="0" r="1778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5FEC" w:rsidRDefault="00715FEC" w:rsidP="008C25A8">
      <w:pPr>
        <w:pStyle w:val="Default"/>
        <w:spacing w:line="360" w:lineRule="auto"/>
        <w:ind w:firstLine="708"/>
        <w:jc w:val="both"/>
        <w:rPr>
          <w:sz w:val="40"/>
          <w:szCs w:val="40"/>
          <w:lang w:val="az-Latn-AZ"/>
        </w:rPr>
      </w:pPr>
    </w:p>
    <w:p w:rsidR="00C02547" w:rsidRDefault="00EC3D6E" w:rsidP="008C25A8">
      <w:pPr>
        <w:pStyle w:val="Default"/>
        <w:spacing w:line="360" w:lineRule="auto"/>
        <w:ind w:firstLine="708"/>
        <w:jc w:val="both"/>
        <w:rPr>
          <w:sz w:val="40"/>
          <w:szCs w:val="40"/>
          <w:lang w:val="az-Latn-AZ"/>
        </w:rPr>
      </w:pPr>
      <w:r>
        <w:rPr>
          <w:sz w:val="40"/>
          <w:szCs w:val="40"/>
          <w:lang w:val="az-Latn-AZ"/>
        </w:rPr>
        <w:t>8</w:t>
      </w:r>
      <w:r w:rsidR="00FD2A2F">
        <w:rPr>
          <w:sz w:val="40"/>
          <w:szCs w:val="40"/>
          <w:lang w:val="az-Latn-AZ"/>
        </w:rPr>
        <w:t xml:space="preserve"> il</w:t>
      </w:r>
      <w:r w:rsidR="00C02547" w:rsidRPr="00116351">
        <w:rPr>
          <w:sz w:val="40"/>
          <w:szCs w:val="40"/>
          <w:lang w:val="az-Latn-AZ"/>
        </w:rPr>
        <w:t xml:space="preserve"> ərzində </w:t>
      </w:r>
      <w:r w:rsidR="00C02547">
        <w:rPr>
          <w:sz w:val="40"/>
          <w:szCs w:val="40"/>
          <w:lang w:val="az-Latn-AZ"/>
        </w:rPr>
        <w:t>icraat vərəqə</w:t>
      </w:r>
      <w:r w:rsidR="008C25A8">
        <w:rPr>
          <w:sz w:val="40"/>
          <w:szCs w:val="40"/>
          <w:lang w:val="az-Latn-AZ"/>
        </w:rPr>
        <w:t>si</w:t>
      </w:r>
      <w:r w:rsidR="00C02547">
        <w:rPr>
          <w:sz w:val="40"/>
          <w:szCs w:val="40"/>
          <w:lang w:val="az-Latn-AZ"/>
        </w:rPr>
        <w:t xml:space="preserve"> açılmış </w:t>
      </w:r>
      <w:r w:rsidR="00C3285A">
        <w:rPr>
          <w:b/>
          <w:sz w:val="40"/>
          <w:szCs w:val="40"/>
          <w:lang w:val="az-Latn-AZ"/>
        </w:rPr>
        <w:t>49401</w:t>
      </w:r>
      <w:r w:rsidR="00ED7A86">
        <w:rPr>
          <w:sz w:val="40"/>
          <w:szCs w:val="40"/>
          <w:lang w:val="az-Latn-AZ"/>
        </w:rPr>
        <w:t xml:space="preserve"> </w:t>
      </w:r>
      <w:r w:rsidR="00C02547">
        <w:rPr>
          <w:sz w:val="40"/>
          <w:szCs w:val="40"/>
          <w:lang w:val="az-Latn-AZ"/>
        </w:rPr>
        <w:t>vahid müraciətin</w:t>
      </w:r>
      <w:r w:rsidR="00C02547" w:rsidRPr="00116351">
        <w:rPr>
          <w:sz w:val="40"/>
          <w:szCs w:val="40"/>
          <w:lang w:val="az-Latn-AZ"/>
        </w:rPr>
        <w:t xml:space="preserve"> </w:t>
      </w:r>
      <w:r w:rsidR="00C3285A">
        <w:rPr>
          <w:b/>
          <w:sz w:val="40"/>
          <w:szCs w:val="40"/>
          <w:lang w:val="az-Latn-AZ"/>
        </w:rPr>
        <w:t>40084</w:t>
      </w:r>
      <w:r w:rsidR="00C02547" w:rsidRPr="008C25A8">
        <w:rPr>
          <w:b/>
          <w:sz w:val="40"/>
          <w:szCs w:val="40"/>
          <w:lang w:val="az-Latn-AZ"/>
        </w:rPr>
        <w:t xml:space="preserve"> </w:t>
      </w:r>
      <w:r w:rsidR="00C02547" w:rsidRPr="00116351">
        <w:rPr>
          <w:sz w:val="40"/>
          <w:szCs w:val="40"/>
          <w:lang w:val="az-Latn-AZ"/>
        </w:rPr>
        <w:t xml:space="preserve">vahidi və ya </w:t>
      </w:r>
      <w:r w:rsidR="00C02547" w:rsidRPr="008C25A8">
        <w:rPr>
          <w:b/>
          <w:sz w:val="40"/>
          <w:szCs w:val="40"/>
          <w:lang w:val="az-Latn-AZ"/>
        </w:rPr>
        <w:t>81.</w:t>
      </w:r>
      <w:r w:rsidR="00C3285A">
        <w:rPr>
          <w:b/>
          <w:sz w:val="40"/>
          <w:szCs w:val="40"/>
          <w:lang w:val="az-Latn-AZ"/>
        </w:rPr>
        <w:t>1</w:t>
      </w:r>
      <w:r w:rsidR="00C02547">
        <w:rPr>
          <w:sz w:val="40"/>
          <w:szCs w:val="40"/>
          <w:lang w:val="az-Latn-AZ"/>
        </w:rPr>
        <w:t xml:space="preserve"> %-i </w:t>
      </w:r>
      <w:r w:rsidR="00C02547" w:rsidRPr="00116351">
        <w:rPr>
          <w:sz w:val="40"/>
          <w:szCs w:val="40"/>
          <w:lang w:val="az-Latn-AZ"/>
        </w:rPr>
        <w:t xml:space="preserve">tam, </w:t>
      </w:r>
      <w:r w:rsidR="00C3285A">
        <w:rPr>
          <w:b/>
          <w:sz w:val="40"/>
          <w:szCs w:val="40"/>
          <w:lang w:val="az-Latn-AZ"/>
        </w:rPr>
        <w:t xml:space="preserve">3609 </w:t>
      </w:r>
      <w:r w:rsidR="00C02547" w:rsidRPr="00116351">
        <w:rPr>
          <w:sz w:val="40"/>
          <w:szCs w:val="40"/>
          <w:lang w:val="az-Latn-AZ"/>
        </w:rPr>
        <w:t xml:space="preserve">vahidi və ya </w:t>
      </w:r>
      <w:r w:rsidR="00C3285A">
        <w:rPr>
          <w:b/>
          <w:sz w:val="40"/>
          <w:szCs w:val="40"/>
          <w:lang w:val="az-Latn-AZ"/>
        </w:rPr>
        <w:t>7.3</w:t>
      </w:r>
      <w:r w:rsidR="00C02547">
        <w:rPr>
          <w:sz w:val="40"/>
          <w:szCs w:val="40"/>
          <w:lang w:val="az-Latn-AZ"/>
        </w:rPr>
        <w:t xml:space="preserve"> %-i</w:t>
      </w:r>
      <w:r w:rsidR="00C02547" w:rsidRPr="00116351">
        <w:rPr>
          <w:sz w:val="40"/>
          <w:szCs w:val="40"/>
          <w:lang w:val="az-Latn-AZ"/>
        </w:rPr>
        <w:t xml:space="preserve">  qismən, </w:t>
      </w:r>
      <w:r w:rsidR="00C3285A">
        <w:rPr>
          <w:b/>
          <w:sz w:val="40"/>
          <w:szCs w:val="40"/>
          <w:lang w:val="az-Latn-AZ"/>
        </w:rPr>
        <w:t>5709</w:t>
      </w:r>
      <w:r w:rsidR="00C02547" w:rsidRPr="00116351">
        <w:rPr>
          <w:sz w:val="40"/>
          <w:szCs w:val="40"/>
          <w:lang w:val="az-Latn-AZ"/>
        </w:rPr>
        <w:t xml:space="preserve"> vahidi və ya </w:t>
      </w:r>
      <w:r w:rsidR="00ED7A86" w:rsidRPr="008C25A8">
        <w:rPr>
          <w:b/>
          <w:sz w:val="40"/>
          <w:szCs w:val="40"/>
          <w:lang w:val="az-Latn-AZ"/>
        </w:rPr>
        <w:t>11.</w:t>
      </w:r>
      <w:r w:rsidR="00C3285A">
        <w:rPr>
          <w:b/>
          <w:sz w:val="40"/>
          <w:szCs w:val="40"/>
          <w:lang w:val="az-Latn-AZ"/>
        </w:rPr>
        <w:t xml:space="preserve">6 </w:t>
      </w:r>
      <w:r w:rsidR="00C02547" w:rsidRPr="00116351">
        <w:rPr>
          <w:sz w:val="40"/>
          <w:szCs w:val="40"/>
          <w:lang w:val="az-Latn-AZ"/>
        </w:rPr>
        <w:t xml:space="preserve"> %</w:t>
      </w:r>
      <w:r w:rsidR="00C02547">
        <w:rPr>
          <w:sz w:val="40"/>
          <w:szCs w:val="40"/>
          <w:lang w:val="az-Latn-AZ"/>
        </w:rPr>
        <w:t>-i</w:t>
      </w:r>
      <w:r w:rsidR="00C02547" w:rsidRPr="00116351">
        <w:rPr>
          <w:sz w:val="40"/>
          <w:szCs w:val="40"/>
          <w:lang w:val="az-Latn-AZ"/>
        </w:rPr>
        <w:t xml:space="preserve"> müvafiq izahat verilərək həll edilmişdir.</w:t>
      </w:r>
    </w:p>
    <w:p w:rsidR="00AF417C" w:rsidRDefault="00AF417C" w:rsidP="008C25A8">
      <w:pPr>
        <w:pStyle w:val="Default"/>
        <w:spacing w:line="360" w:lineRule="auto"/>
        <w:ind w:firstLine="708"/>
        <w:jc w:val="both"/>
        <w:rPr>
          <w:sz w:val="40"/>
          <w:szCs w:val="40"/>
          <w:lang w:val="az-Latn-AZ"/>
        </w:rPr>
      </w:pPr>
    </w:p>
    <w:p w:rsidR="00C02547" w:rsidRDefault="00C3285A" w:rsidP="00C02547">
      <w:pPr>
        <w:pStyle w:val="Default"/>
        <w:spacing w:line="360" w:lineRule="auto"/>
        <w:ind w:firstLine="708"/>
        <w:jc w:val="both"/>
        <w:rPr>
          <w:sz w:val="40"/>
          <w:szCs w:val="40"/>
          <w:lang w:val="az-Latn-AZ"/>
        </w:rPr>
      </w:pPr>
      <w:r>
        <w:rPr>
          <w:noProof/>
          <w:lang w:eastAsia="ru-RU"/>
        </w:rPr>
        <w:drawing>
          <wp:inline distT="0" distB="0" distL="0" distR="0" wp14:anchorId="781FCC83" wp14:editId="4B4B5441">
            <wp:extent cx="9512489" cy="3712191"/>
            <wp:effectExtent l="0" t="0" r="1270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5FEC" w:rsidRDefault="00715FEC" w:rsidP="00AF417C">
      <w:pPr>
        <w:spacing w:line="240" w:lineRule="auto"/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</w:pPr>
    </w:p>
    <w:p w:rsidR="00AF417C" w:rsidRDefault="00AF417C" w:rsidP="00AF417C">
      <w:pPr>
        <w:spacing w:line="240" w:lineRule="auto"/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</w:pPr>
    </w:p>
    <w:p w:rsidR="00C02547" w:rsidRPr="001675A5" w:rsidRDefault="003C41C5" w:rsidP="00C0254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  <w:t>8</w:t>
      </w:r>
      <w:r w:rsidR="003B37A6"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  <w:t xml:space="preserve"> illik fəaliyyəti ərzində</w:t>
      </w:r>
      <w:r w:rsidR="00C02547" w:rsidRPr="001675A5"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  <w:t xml:space="preserve"> Sakinlərin Müraciət Xidmətinin </w:t>
      </w:r>
    </w:p>
    <w:p w:rsidR="00C02547" w:rsidRPr="001675A5" w:rsidRDefault="00C02547" w:rsidP="00C0254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</w:pPr>
      <w:r w:rsidRPr="001675A5"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  <w:t>Əsas Fəaliyyət göstəriciləri</w:t>
      </w:r>
    </w:p>
    <w:p w:rsidR="00C02547" w:rsidRPr="006E38BD" w:rsidRDefault="00C02547" w:rsidP="006E38BD">
      <w:pPr>
        <w:jc w:val="both"/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</w:pPr>
      <w:r w:rsidRPr="00987D9B"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  <w:t xml:space="preserve">Daxil olan zənglərin 30 saniyə ərzində cavablandırmaya </w:t>
      </w:r>
      <w:r w:rsidR="006E38BD" w:rsidRPr="00987D9B"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  <w:t xml:space="preserve">qəbul faizi </w:t>
      </w:r>
      <w:r w:rsidR="006E38BD" w:rsidRPr="006E38BD"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  <w:t xml:space="preserve">- Xidmət səviyyəsi </w:t>
      </w:r>
      <w:r w:rsidR="006E38BD">
        <w:rPr>
          <w:rFonts w:ascii="Times New Roman" w:hAnsi="Times New Roman"/>
          <w:b/>
          <w:color w:val="000000" w:themeColor="text1"/>
          <w:sz w:val="40"/>
          <w:szCs w:val="40"/>
          <w:lang w:val="az-Latn-AZ"/>
        </w:rPr>
        <w:t xml:space="preserve">- </w:t>
      </w:r>
      <w:r w:rsidRPr="001675A5">
        <w:rPr>
          <w:rFonts w:ascii="Times New Roman" w:hAnsi="Times New Roman"/>
          <w:b/>
          <w:sz w:val="40"/>
          <w:szCs w:val="40"/>
          <w:lang w:val="az-Latn-AZ"/>
        </w:rPr>
        <w:t>Bu göstərici SMX-ya müraciət edən şəxslər üçün xidmətin hər zaman nə dərəcədə əlçatan olmasının əsas göstəricisidir. 2013-20</w:t>
      </w:r>
      <w:r w:rsidR="003C41C5">
        <w:rPr>
          <w:rFonts w:ascii="Times New Roman" w:hAnsi="Times New Roman"/>
          <w:b/>
          <w:sz w:val="40"/>
          <w:szCs w:val="40"/>
          <w:lang w:val="az-Latn-AZ"/>
        </w:rPr>
        <w:t>20</w:t>
      </w:r>
      <w:r w:rsidRPr="001675A5">
        <w:rPr>
          <w:rFonts w:ascii="Times New Roman" w:hAnsi="Times New Roman"/>
          <w:b/>
          <w:sz w:val="40"/>
          <w:szCs w:val="40"/>
          <w:lang w:val="az-Latn-AZ"/>
        </w:rPr>
        <w:t>-c</w:t>
      </w:r>
      <w:r w:rsidR="00037B80">
        <w:rPr>
          <w:rFonts w:ascii="Times New Roman" w:hAnsi="Times New Roman"/>
          <w:b/>
          <w:sz w:val="40"/>
          <w:szCs w:val="40"/>
          <w:lang w:val="az-Latn-AZ"/>
        </w:rPr>
        <w:t xml:space="preserve">i illər üzrə xidmət səviyyəsi </w:t>
      </w:r>
      <w:r w:rsidR="00273A39">
        <w:rPr>
          <w:rFonts w:ascii="Times New Roman" w:hAnsi="Times New Roman"/>
          <w:b/>
          <w:sz w:val="40"/>
          <w:szCs w:val="40"/>
          <w:lang w:val="az-Latn-AZ"/>
        </w:rPr>
        <w:t>85.9</w:t>
      </w:r>
      <w:r w:rsidR="00037B80">
        <w:rPr>
          <w:rFonts w:ascii="Times New Roman" w:hAnsi="Times New Roman"/>
          <w:b/>
          <w:sz w:val="40"/>
          <w:szCs w:val="40"/>
          <w:lang w:val="az-Latn-AZ"/>
        </w:rPr>
        <w:t xml:space="preserve"> </w:t>
      </w:r>
      <w:r w:rsidRPr="001675A5">
        <w:rPr>
          <w:rFonts w:ascii="Times New Roman" w:hAnsi="Times New Roman"/>
          <w:b/>
          <w:sz w:val="40"/>
          <w:szCs w:val="40"/>
          <w:lang w:val="az-Latn-AZ"/>
        </w:rPr>
        <w:t>% olmuşdur</w:t>
      </w:r>
      <w:r w:rsidR="00BD2A0A">
        <w:rPr>
          <w:rFonts w:ascii="Times New Roman" w:hAnsi="Times New Roman"/>
          <w:b/>
          <w:sz w:val="40"/>
          <w:szCs w:val="40"/>
          <w:lang w:val="az-Latn-AZ"/>
        </w:rPr>
        <w:t>.</w:t>
      </w:r>
    </w:p>
    <w:p w:rsidR="00C02547" w:rsidRDefault="00273A39" w:rsidP="00C02547">
      <w:pPr>
        <w:pStyle w:val="Default"/>
        <w:spacing w:line="360" w:lineRule="auto"/>
        <w:jc w:val="both"/>
        <w:rPr>
          <w:sz w:val="40"/>
          <w:szCs w:val="40"/>
          <w:lang w:val="az-Latn-AZ"/>
        </w:rPr>
      </w:pPr>
      <w:r>
        <w:rPr>
          <w:noProof/>
          <w:lang w:eastAsia="ru-RU"/>
        </w:rPr>
        <w:drawing>
          <wp:inline distT="0" distB="0" distL="0" distR="0" wp14:anchorId="7BFE7C01" wp14:editId="1F901CF7">
            <wp:extent cx="9553433" cy="3766782"/>
            <wp:effectExtent l="0" t="0" r="1016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2547" w:rsidRDefault="00C02547" w:rsidP="00C02547">
      <w:pPr>
        <w:tabs>
          <w:tab w:val="left" w:pos="3900"/>
        </w:tabs>
        <w:jc w:val="center"/>
        <w:rPr>
          <w:rFonts w:ascii="Times New Roman" w:hAnsi="Times New Roman"/>
          <w:b/>
          <w:color w:val="FF0000"/>
          <w:sz w:val="28"/>
          <w:szCs w:val="28"/>
          <w:lang w:val="az-Latn-AZ"/>
        </w:rPr>
      </w:pPr>
    </w:p>
    <w:p w:rsidR="00BD2A0A" w:rsidRPr="00987D9B" w:rsidRDefault="00C02547" w:rsidP="00273A39">
      <w:pPr>
        <w:pStyle w:val="Default"/>
        <w:rPr>
          <w:b/>
          <w:color w:val="000000" w:themeColor="text1"/>
          <w:sz w:val="36"/>
          <w:szCs w:val="36"/>
          <w:lang w:val="az-Latn-AZ"/>
        </w:rPr>
      </w:pPr>
      <w:r w:rsidRPr="001675A5">
        <w:rPr>
          <w:b/>
          <w:color w:val="FF0000"/>
          <w:sz w:val="40"/>
          <w:szCs w:val="40"/>
          <w:lang w:val="az-Latn-AZ"/>
        </w:rPr>
        <w:t xml:space="preserve"> </w:t>
      </w:r>
      <w:r w:rsidRPr="00987D9B">
        <w:rPr>
          <w:b/>
          <w:color w:val="000000" w:themeColor="text1"/>
          <w:sz w:val="36"/>
          <w:szCs w:val="36"/>
          <w:lang w:val="az-Latn-AZ"/>
        </w:rPr>
        <w:t>Müraciətlərin daxil olma istiqamətləri (Sahə və qəsəbə ərazi icra nümayəndəlikləri üzrə)</w:t>
      </w:r>
    </w:p>
    <w:p w:rsidR="00BD2A0A" w:rsidRDefault="00BD2A0A" w:rsidP="00BD2A0A">
      <w:pPr>
        <w:tabs>
          <w:tab w:val="left" w:pos="3900"/>
        </w:tabs>
        <w:jc w:val="center"/>
        <w:rPr>
          <w:rFonts w:ascii="Times New Roman" w:hAnsi="Times New Roman"/>
          <w:b/>
          <w:color w:val="FF0000"/>
          <w:sz w:val="32"/>
          <w:szCs w:val="32"/>
          <w:lang w:val="az-Latn-AZ"/>
        </w:rPr>
      </w:pPr>
    </w:p>
    <w:p w:rsidR="00C02547" w:rsidRDefault="00273A39" w:rsidP="00BD2A0A">
      <w:pPr>
        <w:tabs>
          <w:tab w:val="left" w:pos="3900"/>
        </w:tabs>
        <w:jc w:val="center"/>
        <w:rPr>
          <w:rFonts w:ascii="Times New Roman" w:hAnsi="Times New Roman"/>
          <w:b/>
          <w:color w:val="FF0000"/>
          <w:sz w:val="32"/>
          <w:szCs w:val="32"/>
          <w:lang w:val="az-Latn-AZ"/>
        </w:rPr>
      </w:pPr>
      <w:r>
        <w:rPr>
          <w:noProof/>
        </w:rPr>
        <w:drawing>
          <wp:inline distT="0" distB="0" distL="0" distR="0" wp14:anchorId="329F41BE" wp14:editId="22A9DA5C">
            <wp:extent cx="9280478" cy="4899546"/>
            <wp:effectExtent l="0" t="0" r="1651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3F6" w:rsidRDefault="00EC23F6" w:rsidP="00BD2A0A">
      <w:pPr>
        <w:tabs>
          <w:tab w:val="left" w:pos="3900"/>
        </w:tabs>
        <w:jc w:val="center"/>
        <w:rPr>
          <w:rFonts w:ascii="Times New Roman" w:hAnsi="Times New Roman"/>
          <w:b/>
          <w:color w:val="FF0000"/>
          <w:sz w:val="32"/>
          <w:szCs w:val="32"/>
          <w:lang w:val="az-Latn-AZ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2100"/>
        <w:gridCol w:w="2500"/>
      </w:tblGrid>
      <w:tr w:rsidR="00F77534" w:rsidRPr="00B17C9A" w:rsidTr="00F77534">
        <w:trPr>
          <w:trHeight w:val="510"/>
        </w:trPr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F6" w:rsidRDefault="00EC23F6" w:rsidP="003B37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</w:pPr>
          </w:p>
          <w:p w:rsidR="00F77534" w:rsidRPr="00F77534" w:rsidRDefault="003B37A6" w:rsidP="00715FE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  <w:t>Daxil olan müraciətlərin kateqo</w:t>
            </w:r>
            <w:r w:rsidR="00F77534" w:rsidRPr="00F77534"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  <w:t>ri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  <w:t>ya</w:t>
            </w:r>
            <w:r w:rsidR="00F77534" w:rsidRPr="00F77534"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  <w:t xml:space="preserve">lar üzrə bölgüsü 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  <w:t>(</w:t>
            </w:r>
            <w:r w:rsidR="00743A7F"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  <w:t>8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  <w:lang w:val="az-Latn-AZ"/>
              </w:rPr>
              <w:t xml:space="preserve"> il ərzində)</w:t>
            </w:r>
          </w:p>
        </w:tc>
      </w:tr>
      <w:tr w:rsidR="00F77534" w:rsidRPr="00F77534" w:rsidTr="00F77534">
        <w:trPr>
          <w:trHeight w:val="64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Su-kanalizasiya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sahəsi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743A7F" w:rsidRDefault="00743A7F" w:rsidP="00EC2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19583</w:t>
            </w:r>
          </w:p>
        </w:tc>
      </w:tr>
      <w:tr w:rsidR="00F77534" w:rsidRPr="00F77534" w:rsidTr="00F77534">
        <w:trPr>
          <w:trHeight w:val="64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Qaz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təchizatı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>nda yaranmış problemlərlə əlaqədar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EC23F6" w:rsidRDefault="00743A7F" w:rsidP="00F7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>12395</w:t>
            </w:r>
          </w:p>
        </w:tc>
      </w:tr>
      <w:tr w:rsidR="00F77534" w:rsidRPr="00F77534" w:rsidTr="00F77534">
        <w:trPr>
          <w:trHeight w:val="64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Lift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təchizatı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 xml:space="preserve"> ilə bağlı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743A7F" w:rsidRDefault="00743A7F" w:rsidP="00EC2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4911</w:t>
            </w:r>
          </w:p>
        </w:tc>
      </w:tr>
      <w:tr w:rsidR="00F77534" w:rsidRPr="00F77534" w:rsidTr="00F77534">
        <w:trPr>
          <w:trHeight w:val="64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İstilik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təchizatı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 xml:space="preserve"> ilə bağlı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EC23F6" w:rsidRDefault="00743A7F" w:rsidP="00F7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>4328</w:t>
            </w:r>
          </w:p>
        </w:tc>
      </w:tr>
      <w:tr w:rsidR="00F77534" w:rsidRPr="00F77534" w:rsidTr="00F77534">
        <w:trPr>
          <w:trHeight w:val="510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Çoxmənzilli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yaşayış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binalarının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mənzil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fondu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ilə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bağlı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743A7F" w:rsidRDefault="00743A7F" w:rsidP="00EC2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2859</w:t>
            </w:r>
          </w:p>
        </w:tc>
      </w:tr>
      <w:tr w:rsidR="00F77534" w:rsidRPr="00F77534" w:rsidTr="00F77534">
        <w:trPr>
          <w:trHeight w:val="64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Elektrik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enerjisi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təchizatı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 xml:space="preserve"> ilə bağlı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743A7F" w:rsidRDefault="00743A7F" w:rsidP="00EC2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2037</w:t>
            </w:r>
          </w:p>
        </w:tc>
      </w:tr>
      <w:tr w:rsidR="00F77534" w:rsidRPr="00F77534" w:rsidTr="00F77534">
        <w:trPr>
          <w:trHeight w:val="510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Bələdiyyələrin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fəaliyyəti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ilə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əlaqədar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EC23F6" w:rsidRDefault="00743A7F" w:rsidP="00F7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>1481</w:t>
            </w:r>
          </w:p>
        </w:tc>
      </w:tr>
      <w:tr w:rsidR="00F77534" w:rsidRPr="00F77534" w:rsidTr="00F77534">
        <w:trPr>
          <w:trHeight w:val="64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EC23F6" w:rsidRDefault="00EC23F6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Küçə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 xml:space="preserve">və prospektlərin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işıqlandırılması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 xml:space="preserve"> ilə əlaqədar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EC23F6" w:rsidRDefault="00743A7F" w:rsidP="00EC2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>691</w:t>
            </w:r>
          </w:p>
        </w:tc>
      </w:tr>
      <w:tr w:rsidR="00F77534" w:rsidRPr="00F77534" w:rsidTr="00F77534">
        <w:trPr>
          <w:trHeight w:val="64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EC23F6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Yaşıllaşdırma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sahəsi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ilə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bağlı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EC23F6" w:rsidRDefault="00743A7F" w:rsidP="00F7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>474</w:t>
            </w:r>
          </w:p>
        </w:tc>
      </w:tr>
      <w:tr w:rsidR="00F77534" w:rsidRPr="00F77534" w:rsidTr="00F77534">
        <w:trPr>
          <w:trHeight w:val="64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Rabitə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sahəsi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ilə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bağlı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EC23F6" w:rsidRDefault="00715FEC" w:rsidP="00F7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>76</w:t>
            </w:r>
          </w:p>
        </w:tc>
      </w:tr>
      <w:tr w:rsidR="00F77534" w:rsidRPr="00F77534" w:rsidTr="00F77534">
        <w:trPr>
          <w:trHeight w:val="510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34" w:rsidRPr="00F77534" w:rsidRDefault="00F77534" w:rsidP="00F775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Sakinləri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narahat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edən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digər</w:t>
            </w:r>
            <w:proofErr w:type="spellEnd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775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məsələlər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4" w:rsidRPr="00EC23F6" w:rsidRDefault="00715FEC" w:rsidP="00F7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az-Latn-AZ"/>
              </w:rPr>
              <w:t>566</w:t>
            </w:r>
          </w:p>
        </w:tc>
      </w:tr>
    </w:tbl>
    <w:p w:rsidR="00C02547" w:rsidRDefault="00C02547" w:rsidP="00C02547">
      <w:pPr>
        <w:jc w:val="center"/>
        <w:rPr>
          <w:rFonts w:ascii="Times New Roman" w:hAnsi="Times New Roman"/>
          <w:b/>
          <w:color w:val="FF0000"/>
          <w:sz w:val="32"/>
          <w:szCs w:val="32"/>
          <w:lang w:val="az-Latn-AZ"/>
        </w:rPr>
      </w:pPr>
    </w:p>
    <w:bookmarkEnd w:id="0"/>
    <w:p w:rsidR="00F77534" w:rsidRDefault="00F77534" w:rsidP="00C02547">
      <w:pPr>
        <w:jc w:val="center"/>
        <w:rPr>
          <w:rFonts w:ascii="Times New Roman" w:hAnsi="Times New Roman"/>
          <w:b/>
          <w:color w:val="FF0000"/>
          <w:sz w:val="32"/>
          <w:szCs w:val="32"/>
          <w:lang w:val="az-Latn-AZ"/>
        </w:rPr>
      </w:pPr>
    </w:p>
    <w:sectPr w:rsidR="00F77534" w:rsidSect="00ED7A86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47"/>
    <w:rsid w:val="0000610B"/>
    <w:rsid w:val="00037B80"/>
    <w:rsid w:val="000D79DA"/>
    <w:rsid w:val="0014597F"/>
    <w:rsid w:val="001B4DBF"/>
    <w:rsid w:val="001E708B"/>
    <w:rsid w:val="00273A39"/>
    <w:rsid w:val="00287A64"/>
    <w:rsid w:val="003B37A6"/>
    <w:rsid w:val="003C41C5"/>
    <w:rsid w:val="003D7583"/>
    <w:rsid w:val="005234F3"/>
    <w:rsid w:val="005E2D78"/>
    <w:rsid w:val="0060024F"/>
    <w:rsid w:val="006351C6"/>
    <w:rsid w:val="006619AE"/>
    <w:rsid w:val="006C3E0F"/>
    <w:rsid w:val="006D327A"/>
    <w:rsid w:val="006E38BD"/>
    <w:rsid w:val="00715FEC"/>
    <w:rsid w:val="00743A7F"/>
    <w:rsid w:val="00846B2D"/>
    <w:rsid w:val="008A0397"/>
    <w:rsid w:val="008C25A8"/>
    <w:rsid w:val="008F573C"/>
    <w:rsid w:val="00987D9B"/>
    <w:rsid w:val="00A03FE5"/>
    <w:rsid w:val="00A46E0F"/>
    <w:rsid w:val="00AB227D"/>
    <w:rsid w:val="00AC5F2B"/>
    <w:rsid w:val="00AF417C"/>
    <w:rsid w:val="00AF44A3"/>
    <w:rsid w:val="00B17C9A"/>
    <w:rsid w:val="00B47B32"/>
    <w:rsid w:val="00B97DF8"/>
    <w:rsid w:val="00BD2A0A"/>
    <w:rsid w:val="00C02547"/>
    <w:rsid w:val="00C3285A"/>
    <w:rsid w:val="00C755A3"/>
    <w:rsid w:val="00CB4B34"/>
    <w:rsid w:val="00CD13B3"/>
    <w:rsid w:val="00EC23F6"/>
    <w:rsid w:val="00EC3D6E"/>
    <w:rsid w:val="00ED7A86"/>
    <w:rsid w:val="00F12AA3"/>
    <w:rsid w:val="00F73C05"/>
    <w:rsid w:val="00F77534"/>
    <w:rsid w:val="00FB0CE6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CE6"/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4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C02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CE6"/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4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C02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5%20illikl&#601;%20&#601;laq&#601;dar\&#1050;&#1085;&#1080;&#1075;&#1072;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5%20illikl&#601;%20&#601;laq&#601;dar\&#1050;&#1085;&#1080;&#1075;&#1072;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5%20illikl&#601;%20&#601;laq&#601;dar\&#1050;&#1085;&#1080;&#1075;&#1072;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5%20illikl&#601;%20&#601;laq&#601;dar\&#1050;&#1085;&#1080;&#1075;&#1072;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z-Latn-AZ"/>
              <a:t>Daxil olan müraciətlər 2013-20</a:t>
            </a:r>
            <a:r>
              <a:rPr lang="en-US"/>
              <a:t>20</a:t>
            </a:r>
            <a:endParaRPr lang="ru-RU"/>
          </a:p>
        </c:rich>
      </c:tx>
      <c:layout/>
      <c:overlay val="0"/>
    </c:title>
    <c:autoTitleDeleted val="0"/>
    <c:view3D>
      <c:rotX val="0"/>
      <c:rotY val="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49812446087897E-2"/>
          <c:y val="2.2477052246922175E-2"/>
          <c:w val="0.94625014279436481"/>
          <c:h val="0.6989695158120006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'2013-2018 ümumi'!$B$1</c:f>
              <c:strCache>
                <c:ptCount val="1"/>
                <c:pt idx="0">
                  <c:v>Zənglərin sayı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'2013-2018 ümumi'!$A$2:$A$9</c:f>
              <c:numCache>
                <c:formatCode>Основной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'2013-2018 ümumi'!$B$2:$B$9</c:f>
              <c:numCache>
                <c:formatCode>Основной</c:formatCode>
                <c:ptCount val="8"/>
                <c:pt idx="0">
                  <c:v>18937</c:v>
                </c:pt>
                <c:pt idx="1">
                  <c:v>35725</c:v>
                </c:pt>
                <c:pt idx="2">
                  <c:v>29703</c:v>
                </c:pt>
                <c:pt idx="3">
                  <c:v>41853</c:v>
                </c:pt>
                <c:pt idx="4">
                  <c:v>35882</c:v>
                </c:pt>
                <c:pt idx="5">
                  <c:v>31002</c:v>
                </c:pt>
                <c:pt idx="6">
                  <c:v>25549</c:v>
                </c:pt>
                <c:pt idx="7">
                  <c:v>27201</c:v>
                </c:pt>
              </c:numCache>
            </c:numRef>
          </c:val>
        </c:ser>
        <c:ser>
          <c:idx val="1"/>
          <c:order val="1"/>
          <c:tx>
            <c:strRef>
              <c:f>'2013-2018 ümumi'!$C$1</c:f>
              <c:strCache>
                <c:ptCount val="1"/>
                <c:pt idx="0">
                  <c:v>Müraciət vərəqələrinin sayı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60081056221304E-2"/>
                  <c:y val="3.6926805837110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901841331757294E-2"/>
                  <c:y val="3.6926805837110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822618559285457E-2"/>
                  <c:y val="7.3853611674220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367041102143972E-2"/>
                  <c:y val="2.2156083502266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841760275535993E-3"/>
                  <c:y val="1.4770722334844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97440642917315E-2"/>
                  <c:y val="1.10780417511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8322408725306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683520551071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'2013-2018 ümumi'!$A$2:$A$9</c:f>
              <c:numCache>
                <c:formatCode>Основной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'2013-2018 ümumi'!$C$2:$C$9</c:f>
              <c:numCache>
                <c:formatCode>Основной</c:formatCode>
                <c:ptCount val="8"/>
                <c:pt idx="0">
                  <c:v>3951</c:v>
                </c:pt>
                <c:pt idx="1">
                  <c:v>7697</c:v>
                </c:pt>
                <c:pt idx="2">
                  <c:v>7212</c:v>
                </c:pt>
                <c:pt idx="3">
                  <c:v>8595</c:v>
                </c:pt>
                <c:pt idx="4">
                  <c:v>7052</c:v>
                </c:pt>
                <c:pt idx="5">
                  <c:v>5296</c:v>
                </c:pt>
                <c:pt idx="6">
                  <c:v>5482</c:v>
                </c:pt>
                <c:pt idx="7">
                  <c:v>4159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500"/>
        <c:shape val="cylinder"/>
        <c:axId val="42877312"/>
        <c:axId val="42878848"/>
        <c:axId val="61946496"/>
      </c:bar3DChart>
      <c:catAx>
        <c:axId val="42877312"/>
        <c:scaling>
          <c:orientation val="minMax"/>
        </c:scaling>
        <c:delete val="0"/>
        <c:axPos val="b"/>
        <c:numFmt formatCode="Основной" sourceLinked="1"/>
        <c:majorTickMark val="none"/>
        <c:minorTickMark val="none"/>
        <c:tickLblPos val="nextTo"/>
        <c:crossAx val="42878848"/>
        <c:crosses val="autoZero"/>
        <c:auto val="1"/>
        <c:lblAlgn val="ctr"/>
        <c:lblOffset val="100"/>
        <c:noMultiLvlLbl val="0"/>
      </c:catAx>
      <c:valAx>
        <c:axId val="42878848"/>
        <c:scaling>
          <c:orientation val="minMax"/>
        </c:scaling>
        <c:delete val="0"/>
        <c:axPos val="l"/>
        <c:majorGridlines/>
        <c:numFmt formatCode="Основной" sourceLinked="1"/>
        <c:majorTickMark val="none"/>
        <c:minorTickMark val="none"/>
        <c:tickLblPos val="nextTo"/>
        <c:crossAx val="42877312"/>
        <c:crosses val="autoZero"/>
        <c:crossBetween val="between"/>
      </c:valAx>
      <c:serAx>
        <c:axId val="61946496"/>
        <c:scaling>
          <c:orientation val="minMax"/>
        </c:scaling>
        <c:delete val="1"/>
        <c:axPos val="b"/>
        <c:majorTickMark val="none"/>
        <c:minorTickMark val="none"/>
        <c:tickLblPos val="nextTo"/>
        <c:crossAx val="42878848"/>
        <c:crosses val="autoZero"/>
      </c:serAx>
      <c:dTable>
        <c:showHorzBorder val="1"/>
        <c:showVertBorder val="1"/>
        <c:showOutline val="1"/>
        <c:showKeys val="1"/>
      </c:dTable>
      <c:spPr>
        <a:scene3d>
          <a:camera prst="orthographicFront"/>
          <a:lightRig rig="threePt" dir="t"/>
        </a:scene3d>
        <a:sp3d prstMaterial="dkEdge"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</a:t>
            </a:r>
            <a:r>
              <a:rPr lang="az-Latn-AZ"/>
              <a:t>3-20</a:t>
            </a:r>
            <a:r>
              <a:rPr lang="en-US"/>
              <a:t>20</a:t>
            </a:r>
            <a:r>
              <a:rPr lang="az-Latn-AZ"/>
              <a:t>-ci illər üzrə icra vəziyyəti</a:t>
            </a:r>
            <a:endParaRPr lang="ru-RU"/>
          </a:p>
        </c:rich>
      </c:tx>
      <c:layout/>
      <c:overlay val="0"/>
    </c:title>
    <c:autoTitleDeleted val="0"/>
    <c:view3D>
      <c:rotX val="10"/>
      <c:rotY val="0"/>
      <c:depthPercent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880927252799403E-2"/>
          <c:y val="3.5061876960869695E-2"/>
          <c:w val="0.94684588652260959"/>
          <c:h val="0.8283867202609440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2013-2020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Лист4!$A$2:$A$5</c:f>
              <c:strCache>
                <c:ptCount val="3"/>
                <c:pt idx="0">
                  <c:v>Tam həll</c:v>
                </c:pt>
                <c:pt idx="1">
                  <c:v>Qismən həll</c:v>
                </c:pt>
                <c:pt idx="2">
                  <c:v>Müvafiq izahat</c:v>
                </c:pt>
              </c:strCache>
            </c:strRef>
          </c:cat>
          <c:val>
            <c:numRef>
              <c:f>Лист4!$B$2:$B$5</c:f>
              <c:numCache>
                <c:formatCode>Основной</c:formatCode>
                <c:ptCount val="4"/>
                <c:pt idx="0">
                  <c:v>40084</c:v>
                </c:pt>
                <c:pt idx="1">
                  <c:v>3609</c:v>
                </c:pt>
                <c:pt idx="2">
                  <c:v>5708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917888"/>
        <c:axId val="42919424"/>
        <c:axId val="42881920"/>
      </c:bar3DChart>
      <c:catAx>
        <c:axId val="42917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42919424"/>
        <c:crosses val="autoZero"/>
        <c:auto val="1"/>
        <c:lblAlgn val="ctr"/>
        <c:lblOffset val="100"/>
        <c:noMultiLvlLbl val="0"/>
      </c:catAx>
      <c:valAx>
        <c:axId val="42919424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42917888"/>
        <c:crosses val="autoZero"/>
        <c:crossBetween val="between"/>
      </c:valAx>
      <c:serAx>
        <c:axId val="42881920"/>
        <c:scaling>
          <c:orientation val="minMax"/>
        </c:scaling>
        <c:delete val="1"/>
        <c:axPos val="b"/>
        <c:majorTickMark val="out"/>
        <c:minorTickMark val="none"/>
        <c:tickLblPos val="nextTo"/>
        <c:crossAx val="4291942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 b="1" i="0" baseline="0">
                <a:effectLst/>
              </a:rPr>
              <a:t>Xidmət səviyyəsi -30 saniyə ərzində</a:t>
            </a:r>
            <a:endParaRPr lang="ru-RU" sz="18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8439689690606509E-2"/>
          <c:y val="0.13364532013164515"/>
          <c:w val="0.92992738840582223"/>
          <c:h val="0.55264493671255721"/>
        </c:manualLayout>
      </c:layout>
      <c:lineChart>
        <c:grouping val="standard"/>
        <c:varyColors val="0"/>
        <c:ser>
          <c:idx val="0"/>
          <c:order val="0"/>
          <c:tx>
            <c:strRef>
              <c:f>Лист7!$B$1</c:f>
              <c:strCache>
                <c:ptCount val="1"/>
                <c:pt idx="0">
                  <c:v>Xidmət səviyyəsi -30 saniyə ərzində
</c:v>
                </c:pt>
              </c:strCache>
            </c:strRef>
          </c:tx>
          <c:dLbls>
            <c:dLbl>
              <c:idx val="0"/>
              <c:layout>
                <c:manualLayout>
                  <c:x val="-1.1111111111111112E-2"/>
                  <c:y val="-2.314814814814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00000000000024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64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617979386450663E-2"/>
                  <c:y val="-3.5323012544524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444444444444446E-2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666666666666666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88888888888888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Лист7!$A$2:$A$9</c:f>
              <c:numCache>
                <c:formatCode>Основной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Лист7!$B$2:$B$9</c:f>
              <c:numCache>
                <c:formatCode>Основной</c:formatCode>
                <c:ptCount val="8"/>
                <c:pt idx="0">
                  <c:v>89</c:v>
                </c:pt>
                <c:pt idx="1">
                  <c:v>78.2</c:v>
                </c:pt>
                <c:pt idx="2">
                  <c:v>79.8</c:v>
                </c:pt>
                <c:pt idx="3">
                  <c:v>85.6</c:v>
                </c:pt>
                <c:pt idx="4">
                  <c:v>87.7</c:v>
                </c:pt>
                <c:pt idx="5">
                  <c:v>87.8</c:v>
                </c:pt>
                <c:pt idx="6">
                  <c:v>92.5</c:v>
                </c:pt>
                <c:pt idx="7">
                  <c:v>86.3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Лист7!$C$1</c:f>
              <c:strCache>
                <c:ptCount val="1"/>
                <c:pt idx="0">
                  <c:v>Hədəf (minimum 80 %)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666666666666692E-2"/>
                  <c:y val="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8888888888889E-2"/>
                  <c:y val="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666666666666664E-2"/>
                  <c:y val="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111111111111108E-2"/>
                  <c:y val="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111111111111108E-2"/>
                  <c:y val="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444444444444446E-2"/>
                  <c:y val="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5"/>
                  <c:y val="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solidFill>
                      <a:schemeClr val="accent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Лист7!$A$2:$A$9</c:f>
              <c:numCache>
                <c:formatCode>Основной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Лист7!$C$2:$C$9</c:f>
              <c:numCache>
                <c:formatCode>Основной</c:formatCode>
                <c:ptCount val="8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33152"/>
        <c:axId val="93234688"/>
      </c:lineChart>
      <c:catAx>
        <c:axId val="93233152"/>
        <c:scaling>
          <c:orientation val="minMax"/>
        </c:scaling>
        <c:delete val="0"/>
        <c:axPos val="b"/>
        <c:numFmt formatCode="Основной" sourceLinked="1"/>
        <c:majorTickMark val="none"/>
        <c:min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93234688"/>
        <c:crosses val="autoZero"/>
        <c:auto val="1"/>
        <c:lblAlgn val="ctr"/>
        <c:lblOffset val="100"/>
        <c:noMultiLvlLbl val="0"/>
      </c:catAx>
      <c:valAx>
        <c:axId val="93234688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9323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433129486838607"/>
          <c:y val="0.91292594495490798"/>
          <c:w val="0.56344928571750075"/>
          <c:h val="8.4428299806041315E-2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Лист5!$B$1</c:f>
              <c:strCache>
                <c:ptCount val="1"/>
                <c:pt idx="0">
                  <c:v>2013-2020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Лист5!$A$2:$A$8</c:f>
              <c:strCache>
                <c:ptCount val="7"/>
                <c:pt idx="0">
                  <c:v>1 saylı SİƏD</c:v>
                </c:pt>
                <c:pt idx="1">
                  <c:v>Binəqədi QİƏD</c:v>
                </c:pt>
                <c:pt idx="2">
                  <c:v>Biləcəri QİƏD</c:v>
                </c:pt>
                <c:pt idx="3">
                  <c:v>M.Ə.Rəsulzadə QİƏD</c:v>
                </c:pt>
                <c:pt idx="4">
                  <c:v>2 saylı SİƏD</c:v>
                </c:pt>
                <c:pt idx="5">
                  <c:v>Xocasən QİƏD</c:v>
                </c:pt>
                <c:pt idx="6">
                  <c:v>28 may QİƏD</c:v>
                </c:pt>
              </c:strCache>
            </c:strRef>
          </c:cat>
          <c:val>
            <c:numRef>
              <c:f>Лист5!$B$2:$B$8</c:f>
              <c:numCache>
                <c:formatCode>Основной</c:formatCode>
                <c:ptCount val="7"/>
                <c:pt idx="0">
                  <c:v>13795</c:v>
                </c:pt>
                <c:pt idx="1">
                  <c:v>11701</c:v>
                </c:pt>
                <c:pt idx="2">
                  <c:v>8891</c:v>
                </c:pt>
                <c:pt idx="3">
                  <c:v>5849</c:v>
                </c:pt>
                <c:pt idx="4">
                  <c:v>5471</c:v>
                </c:pt>
                <c:pt idx="5">
                  <c:v>3662</c:v>
                </c:pt>
                <c:pt idx="6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Лист5!#REF!</c:f>
              <c:strCache>
                <c:ptCount val="1"/>
                <c:pt idx="0">
                  <c:v>#REF!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Лист5!$A$2:$A$8</c:f>
              <c:strCache>
                <c:ptCount val="7"/>
                <c:pt idx="0">
                  <c:v>1 saylı SİƏD</c:v>
                </c:pt>
                <c:pt idx="1">
                  <c:v>Binəqədi QİƏD</c:v>
                </c:pt>
                <c:pt idx="2">
                  <c:v>Biləcəri QİƏD</c:v>
                </c:pt>
                <c:pt idx="3">
                  <c:v>M.Ə.Rəsulzadə QİƏD</c:v>
                </c:pt>
                <c:pt idx="4">
                  <c:v>2 saylı SİƏD</c:v>
                </c:pt>
                <c:pt idx="5">
                  <c:v>Xocasən QİƏD</c:v>
                </c:pt>
                <c:pt idx="6">
                  <c:v>28 may QİƏD</c:v>
                </c:pt>
              </c:strCache>
            </c:strRef>
          </c:cat>
          <c:val>
            <c:numRef>
              <c:f>Лист5!#REF!</c:f>
              <c:numCache>
                <c:formatCode>Основной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Elman Dadashov</cp:lastModifiedBy>
  <cp:revision>8</cp:revision>
  <cp:lastPrinted>2018-02-05T06:49:00Z</cp:lastPrinted>
  <dcterms:created xsi:type="dcterms:W3CDTF">2019-02-06T10:43:00Z</dcterms:created>
  <dcterms:modified xsi:type="dcterms:W3CDTF">2021-02-06T06:50:00Z</dcterms:modified>
</cp:coreProperties>
</file>